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9D" w:rsidRPr="00865723" w:rsidRDefault="00080C5D" w:rsidP="00865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Greenhouse Management</w:t>
      </w:r>
      <w:r w:rsidR="00865723" w:rsidRPr="00865723">
        <w:rPr>
          <w:b/>
          <w:sz w:val="24"/>
          <w:szCs w:val="24"/>
        </w:rPr>
        <w:t xml:space="preserve"> Syllabus </w:t>
      </w:r>
    </w:p>
    <w:p w:rsidR="00865723" w:rsidRPr="00865723" w:rsidRDefault="00865723" w:rsidP="00865723">
      <w:pPr>
        <w:jc w:val="center"/>
        <w:rPr>
          <w:b/>
          <w:sz w:val="24"/>
          <w:szCs w:val="24"/>
        </w:rPr>
      </w:pPr>
      <w:r w:rsidRPr="00865723">
        <w:rPr>
          <w:b/>
          <w:sz w:val="24"/>
          <w:szCs w:val="24"/>
        </w:rPr>
        <w:t>Ms. Lauren Rogers</w:t>
      </w:r>
    </w:p>
    <w:p w:rsidR="00865723" w:rsidRDefault="00865723" w:rsidP="00865723">
      <w:pPr>
        <w:jc w:val="center"/>
        <w:rPr>
          <w:b/>
          <w:sz w:val="24"/>
          <w:szCs w:val="24"/>
        </w:rPr>
      </w:pPr>
      <w:r w:rsidRPr="00865723">
        <w:rPr>
          <w:b/>
          <w:sz w:val="24"/>
          <w:szCs w:val="24"/>
        </w:rPr>
        <w:t>Room 302</w:t>
      </w:r>
    </w:p>
    <w:p w:rsidR="0095006D" w:rsidRP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b/>
          <w:sz w:val="24"/>
          <w:szCs w:val="24"/>
        </w:rPr>
      </w:pPr>
      <w:r w:rsidRPr="0095006D">
        <w:rPr>
          <w:rFonts w:ascii="Byington" w:hAnsi="Byington" w:cs="ArialMT-Identity-H"/>
          <w:b/>
          <w:sz w:val="24"/>
          <w:szCs w:val="24"/>
        </w:rPr>
        <w:t>Course Description:</w:t>
      </w:r>
    </w:p>
    <w:p w:rsidR="00865723" w:rsidRDefault="00080C5D" w:rsidP="00080C5D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  <w:r w:rsidRPr="00080C5D">
        <w:rPr>
          <w:rFonts w:ascii="Byington" w:hAnsi="Byington" w:cs="ArialMT-Identity-H"/>
          <w:sz w:val="24"/>
          <w:szCs w:val="24"/>
        </w:rPr>
        <w:t>This course is designed to prepare a student to</w:t>
      </w:r>
      <w:r>
        <w:rPr>
          <w:rFonts w:ascii="Byington" w:hAnsi="Byington" w:cs="ArialMT-Identity-H"/>
          <w:sz w:val="24"/>
          <w:szCs w:val="24"/>
        </w:rPr>
        <w:t xml:space="preserve"> manage a greenhouse operation. </w:t>
      </w:r>
      <w:r w:rsidRPr="00080C5D">
        <w:rPr>
          <w:rFonts w:ascii="Byington" w:hAnsi="Byington" w:cs="ArialMT-Identity-H"/>
          <w:sz w:val="24"/>
          <w:szCs w:val="24"/>
        </w:rPr>
        <w:t>Students in this</w:t>
      </w:r>
      <w:r>
        <w:rPr>
          <w:rFonts w:ascii="Byington" w:hAnsi="Byington" w:cs="ArialMT-Identity-H"/>
          <w:sz w:val="24"/>
          <w:szCs w:val="24"/>
        </w:rPr>
        <w:t xml:space="preserve"> </w:t>
      </w:r>
      <w:r w:rsidRPr="00080C5D">
        <w:rPr>
          <w:rFonts w:ascii="Byington" w:hAnsi="Byington" w:cs="ArialMT-Identity-H"/>
          <w:sz w:val="24"/>
          <w:szCs w:val="24"/>
        </w:rPr>
        <w:t>class will learn to produce various ornamental crops</w:t>
      </w:r>
      <w:r>
        <w:rPr>
          <w:rFonts w:ascii="Byington" w:hAnsi="Byington" w:cs="ArialMT-Identity-H"/>
          <w:sz w:val="24"/>
          <w:szCs w:val="24"/>
        </w:rPr>
        <w:t xml:space="preserve"> </w:t>
      </w:r>
      <w:r w:rsidRPr="00080C5D">
        <w:rPr>
          <w:rFonts w:ascii="Byington" w:hAnsi="Byington" w:cs="ArialMT-Identity-H"/>
          <w:sz w:val="24"/>
          <w:szCs w:val="24"/>
        </w:rPr>
        <w:t>and food crops. An understanding of structures, crop</w:t>
      </w:r>
      <w:r>
        <w:rPr>
          <w:rFonts w:ascii="Byington" w:hAnsi="Byington" w:cs="ArialMT-Identity-H"/>
          <w:sz w:val="24"/>
          <w:szCs w:val="24"/>
        </w:rPr>
        <w:t xml:space="preserve"> </w:t>
      </w:r>
      <w:r w:rsidRPr="00080C5D">
        <w:rPr>
          <w:rFonts w:ascii="Byington" w:hAnsi="Byington" w:cs="ArialMT-Identity-H"/>
          <w:sz w:val="24"/>
          <w:szCs w:val="24"/>
        </w:rPr>
        <w:t>selection, and growing systems will be explored. As</w:t>
      </w:r>
      <w:r>
        <w:rPr>
          <w:rFonts w:ascii="Byington" w:hAnsi="Byington" w:cs="ArialMT-Identity-H"/>
          <w:sz w:val="24"/>
          <w:szCs w:val="24"/>
        </w:rPr>
        <w:t xml:space="preserve"> </w:t>
      </w:r>
      <w:r w:rsidRPr="00080C5D">
        <w:rPr>
          <w:rFonts w:ascii="Byington" w:hAnsi="Byington" w:cs="ArialMT-Identity-H"/>
          <w:sz w:val="24"/>
          <w:szCs w:val="24"/>
        </w:rPr>
        <w:t>populations continue to expand, the importance of</w:t>
      </w:r>
      <w:r>
        <w:rPr>
          <w:rFonts w:ascii="Byington" w:hAnsi="Byington" w:cs="ArialMT-Identity-H"/>
          <w:sz w:val="24"/>
          <w:szCs w:val="24"/>
        </w:rPr>
        <w:t xml:space="preserve"> food </w:t>
      </w:r>
      <w:r w:rsidRPr="00080C5D">
        <w:rPr>
          <w:rFonts w:ascii="Byington" w:hAnsi="Byington" w:cs="ArialMT-Identity-H"/>
          <w:sz w:val="24"/>
          <w:szCs w:val="24"/>
        </w:rPr>
        <w:t>production in a climate controlled environment</w:t>
      </w:r>
      <w:r>
        <w:rPr>
          <w:rFonts w:ascii="Byington" w:hAnsi="Byington" w:cs="ArialMT-Identity-H"/>
          <w:sz w:val="24"/>
          <w:szCs w:val="24"/>
        </w:rPr>
        <w:t xml:space="preserve"> </w:t>
      </w:r>
      <w:r w:rsidRPr="00080C5D">
        <w:rPr>
          <w:rFonts w:ascii="Byington" w:hAnsi="Byington" w:cs="ArialMT-Identity-H"/>
          <w:sz w:val="24"/>
          <w:szCs w:val="24"/>
        </w:rPr>
        <w:t>increases. Today’s agriculture students are preparing</w:t>
      </w:r>
      <w:r>
        <w:rPr>
          <w:rFonts w:ascii="Byington" w:hAnsi="Byington" w:cs="ArialMT-Identity-H"/>
          <w:sz w:val="24"/>
          <w:szCs w:val="24"/>
        </w:rPr>
        <w:t xml:space="preserve"> </w:t>
      </w:r>
      <w:r w:rsidRPr="00080C5D">
        <w:rPr>
          <w:rFonts w:ascii="Byington" w:hAnsi="Byington" w:cs="ArialMT-Identity-H"/>
          <w:sz w:val="24"/>
          <w:szCs w:val="24"/>
        </w:rPr>
        <w:t>to meet the needs of a growing world.</w:t>
      </w:r>
    </w:p>
    <w:p w:rsidR="00080C5D" w:rsidRP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</w:p>
    <w:p w:rsidR="0095006D" w:rsidRP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b/>
          <w:sz w:val="24"/>
          <w:szCs w:val="24"/>
        </w:rPr>
      </w:pPr>
      <w:r w:rsidRPr="0095006D">
        <w:rPr>
          <w:rFonts w:ascii="Byington" w:hAnsi="Byington" w:cs="ArialMT-Identity-H"/>
          <w:b/>
          <w:sz w:val="24"/>
          <w:szCs w:val="24"/>
        </w:rPr>
        <w:t>Rules:</w:t>
      </w:r>
    </w:p>
    <w:p w:rsidR="00865723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  <w:r>
        <w:rPr>
          <w:rFonts w:ascii="Byington" w:hAnsi="Byington" w:cs="ArialMT-Identity-H"/>
          <w:sz w:val="24"/>
          <w:szCs w:val="24"/>
        </w:rPr>
        <w:t>Each</w:t>
      </w:r>
      <w:r w:rsidR="00080C5D">
        <w:rPr>
          <w:rFonts w:ascii="Byington" w:hAnsi="Byington" w:cs="ArialMT-Identity-H"/>
          <w:sz w:val="24"/>
          <w:szCs w:val="24"/>
        </w:rPr>
        <w:t xml:space="preserve"> student enrolled in Agriculture courses</w:t>
      </w:r>
      <w:r>
        <w:rPr>
          <w:rFonts w:ascii="Byington" w:hAnsi="Byington" w:cs="ArialMT-Identity-H"/>
          <w:sz w:val="24"/>
          <w:szCs w:val="24"/>
        </w:rPr>
        <w:t xml:space="preserve"> is expected to follow all class rules and guidelines. These rules are in place for safety reasons, as well as classroom management. </w:t>
      </w:r>
    </w:p>
    <w:p w:rsid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</w:p>
    <w:p w:rsidR="0095006D" w:rsidRP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b/>
          <w:sz w:val="24"/>
          <w:szCs w:val="24"/>
        </w:rPr>
      </w:pPr>
      <w:r w:rsidRPr="0095006D">
        <w:rPr>
          <w:rFonts w:ascii="Byington" w:hAnsi="Byington" w:cs="ArialMT-Identity-H"/>
          <w:b/>
          <w:sz w:val="24"/>
          <w:szCs w:val="24"/>
        </w:rPr>
        <w:t>*Please note that there will be inter</w:t>
      </w:r>
      <w:r w:rsidR="00080C5D">
        <w:rPr>
          <w:rFonts w:ascii="Byington" w:hAnsi="Byington" w:cs="ArialMT-Identity-H"/>
          <w:b/>
          <w:sz w:val="24"/>
          <w:szCs w:val="24"/>
        </w:rPr>
        <w:t>action with animals and plants. Each student is required to participate in greenhouse activities such as watering, planting, potting, etc.*</w:t>
      </w:r>
    </w:p>
    <w:p w:rsid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</w:p>
    <w:p w:rsid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  <w:r w:rsidRPr="0095006D">
        <w:rPr>
          <w:rFonts w:ascii="Byington" w:hAnsi="Byington" w:cs="ArialMT-Identity-H"/>
          <w:b/>
          <w:sz w:val="24"/>
          <w:szCs w:val="24"/>
        </w:rPr>
        <w:t>Grading</w:t>
      </w:r>
      <w:r>
        <w:rPr>
          <w:rFonts w:ascii="Byington" w:hAnsi="Byington" w:cs="ArialMT-Identity-H"/>
          <w:sz w:val="24"/>
          <w:szCs w:val="24"/>
        </w:rPr>
        <w:t xml:space="preserve"> will tentatively consist of a 6 Weeks exam, 1-2 quizzes per 6 weeks, a lab grade for each lab, and a mid-term and final exam. All grades will be weighed the same.</w:t>
      </w:r>
    </w:p>
    <w:p w:rsid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1.0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Specify correct procedures for handling pesticides and using general safety practices in the greenhouse.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1.1 Follow industry safety standards in the greenhouse and work area.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1.2 Evaluate proper chemical/pesticide safety standards.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1.3 Assess the purpose of worker protection standards.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1.4 Compare the uses and types of chemicals used in greenhouse production.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1.5 Complete safety test with 100 percent accuracy.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1.6 Obtain the worker protection standards student industry certification.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2.0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Evaluate greenhouse structural types and components.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2.1 Identify greenhouse types based on their end wall shape.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2.2 Identify greenhouse construction materials.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2.3 Evaluate climate control systems.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lastRenderedPageBreak/>
        <w:t>2.4 Evaluate growing systems, including watering, fertilizing, and plant placement.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3.0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Evaluate the properties of different types of soil media.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3.1 Explain the major functions of growing media.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3.2 Analyze and explain the attributes of growing media.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3.3 Compare cost effectiveness of premix or personal mix.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4.0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Evaluate the different plant structures and functions of those structures.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4.1 Evaluate the importance of plant structures.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4.2 Explain the functions of plant structures.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5.0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Evaluate proper methods of asexual plant propagation.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5.1 Examine methods of plant propagation.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5.2 Compare the benefits of asexual versus sexual reproduction.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5.3 Evaluate the techniques of sexual and asexual reproduction of plants.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6.0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Assess proper nutrition and watering techniques with greenhouse crops.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6.1 Evaluate the benefits of proper watering of plants.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6.2 Explain the benefits of proper nutrition of plants.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6.3 Examine and distinguish how water pH interacts with plant growth.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7.0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Select greenhouse crops in greenhouse production.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7.1 Evaluate and explain the use of different greenhouse crop species for production.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7.2 Compare the advantages and disadvantages of common plants grown in greenhouses.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7.3 Identify common greenhouse plants.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7.4 Distinguish between annual, biennial and perennial plants.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8.0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Demonstrate organizational skills and work ethics necessary in greenhouse production.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8.1 Explain the skills to manage the complete production schedules.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8.2 Evaluate and explain work habits needed to create a positive atmosphere.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8.3 Evaluate the importance of recordkeeping.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9.0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Evaluate the control of common diseases and pests using integrated pest management.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9.1 Evaluate the effects of common diseases in greenhouse production.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9.2 Evaluate the effects of common pests in greenhouse production.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9.3 Assess and explain common methods of control of greenhouse pests and diseases.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9.4 Evaluate the effectiveness of integrated pest management (IPM) for controlling greenhouse pests and diseases.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10.0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Demonstrate premier leadership and personal growth needed in a greenhouse management career.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10.1 Discuss how the FFA has changed as agriculture has changed.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10.2 Develop public speaking skills needed in the greenhouse industry.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10.3 Conduct meetings, using approved parliamentary law.</w:t>
      </w:r>
    </w:p>
    <w:p w:rsidR="0095006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10.4 Develop an SAEP, supervised agricultural experience program, for a greenhouse enterprise.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jc w:val="center"/>
        <w:rPr>
          <w:rFonts w:ascii="Byington" w:hAnsi="Byington" w:cs="ArialNarrow-Identity-H"/>
          <w:b/>
          <w:sz w:val="24"/>
          <w:szCs w:val="24"/>
        </w:rPr>
      </w:pPr>
      <w:r>
        <w:rPr>
          <w:rFonts w:ascii="Byington" w:hAnsi="Byington" w:cs="ArialNarrow-Identity-H"/>
          <w:b/>
          <w:sz w:val="24"/>
          <w:szCs w:val="24"/>
        </w:rPr>
        <w:t>Acknowledgement of Course Expectations</w:t>
      </w:r>
      <w:r w:rsidR="00426AA0">
        <w:rPr>
          <w:rFonts w:ascii="Byington" w:hAnsi="Byington" w:cs="ArialNarrow-Identity-H"/>
          <w:b/>
          <w:sz w:val="24"/>
          <w:szCs w:val="24"/>
        </w:rPr>
        <w:t xml:space="preserve"> – Greenhouse Management</w:t>
      </w: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Byington" w:hAnsi="Byington" w:cs="ArialNarrow-Identity-H"/>
          <w:b/>
          <w:sz w:val="24"/>
          <w:szCs w:val="24"/>
        </w:rPr>
      </w:pPr>
    </w:p>
    <w:p w:rsidR="0095006D" w:rsidRDefault="0095006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>I, _____________________________________, understand that my child ____________</w:t>
      </w:r>
    </w:p>
    <w:p w:rsidR="0095006D" w:rsidRDefault="0095006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>__________________________</w:t>
      </w:r>
      <w:r w:rsidR="00426AA0">
        <w:rPr>
          <w:rFonts w:ascii="Byington" w:hAnsi="Byington" w:cs="ArialNarrow-Identity-H"/>
          <w:sz w:val="24"/>
          <w:szCs w:val="24"/>
        </w:rPr>
        <w:t xml:space="preserve"> will be enrolled in Greenhouse Management</w:t>
      </w:r>
      <w:r>
        <w:rPr>
          <w:rFonts w:ascii="Byington" w:hAnsi="Byington" w:cs="ArialNarrow-Identity-H"/>
          <w:sz w:val="24"/>
          <w:szCs w:val="24"/>
        </w:rPr>
        <w:t xml:space="preserve"> for the _____________ school year. I have read and understand the </w:t>
      </w:r>
      <w:r w:rsidR="00E26BCD">
        <w:rPr>
          <w:rFonts w:ascii="Byington" w:hAnsi="Byington" w:cs="ArialNarrow-Identity-H"/>
          <w:sz w:val="24"/>
          <w:szCs w:val="24"/>
        </w:rPr>
        <w:t xml:space="preserve">course description, expectations, and grading policies. </w:t>
      </w: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>__________________________________     ______________</w:t>
      </w: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 xml:space="preserve">          Parent Signature                           Date</w:t>
      </w: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>__________________________________      ______________</w:t>
      </w: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 xml:space="preserve">         Student Signature                           Date</w:t>
      </w: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>This form MUST be returned to Ms. Rogers on the given due date before the student will be able to receive grades for any work during class!</w:t>
      </w:r>
    </w:p>
    <w:p w:rsidR="00E26BCD" w:rsidRDefault="00E26BCD" w:rsidP="0095006D">
      <w:pPr>
        <w:autoSpaceDE w:val="0"/>
        <w:autoSpaceDN w:val="0"/>
        <w:adjustRightInd w:val="0"/>
        <w:spacing w:after="0" w:line="240" w:lineRule="auto"/>
        <w:rPr>
          <w:rFonts w:ascii="Byington" w:hAnsi="Byington" w:cs="ArialNarrow-Identity-H"/>
          <w:sz w:val="24"/>
          <w:szCs w:val="24"/>
        </w:rPr>
      </w:pPr>
    </w:p>
    <w:p w:rsidR="00E26BCD" w:rsidRDefault="00E26BCD" w:rsidP="0095006D">
      <w:pPr>
        <w:autoSpaceDE w:val="0"/>
        <w:autoSpaceDN w:val="0"/>
        <w:adjustRightInd w:val="0"/>
        <w:spacing w:after="0" w:line="240" w:lineRule="auto"/>
        <w:rPr>
          <w:rFonts w:ascii="Byington" w:hAnsi="Byington" w:cs="ArialNarrow-Identity-H"/>
          <w:sz w:val="24"/>
          <w:szCs w:val="24"/>
        </w:rPr>
      </w:pPr>
    </w:p>
    <w:p w:rsidR="00E26BCD" w:rsidRPr="0095006D" w:rsidRDefault="00E26BCD" w:rsidP="0095006D">
      <w:pPr>
        <w:autoSpaceDE w:val="0"/>
        <w:autoSpaceDN w:val="0"/>
        <w:adjustRightInd w:val="0"/>
        <w:spacing w:after="0" w:line="240" w:lineRule="auto"/>
        <w:rPr>
          <w:rFonts w:ascii="Byington" w:hAnsi="Byington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jc w:val="center"/>
        <w:rPr>
          <w:rFonts w:ascii="Byington" w:hAnsi="Byington" w:cs="ArialNarrow-Identity-H"/>
          <w:b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P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sectPr w:rsidR="0095006D" w:rsidRPr="0095006D" w:rsidSect="0020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723"/>
    <w:rsid w:val="00080C5D"/>
    <w:rsid w:val="00180FA9"/>
    <w:rsid w:val="002077A6"/>
    <w:rsid w:val="00426AA0"/>
    <w:rsid w:val="00534610"/>
    <w:rsid w:val="006B1B2C"/>
    <w:rsid w:val="00865723"/>
    <w:rsid w:val="0095006D"/>
    <w:rsid w:val="00E2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2012-07-23T15:59:00Z</dcterms:created>
  <dcterms:modified xsi:type="dcterms:W3CDTF">2012-07-23T15:59:00Z</dcterms:modified>
</cp:coreProperties>
</file>